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C2" w:rsidRDefault="00C11EC2" w:rsidP="00C11EC2">
      <w:pPr>
        <w:jc w:val="center"/>
        <w:rPr>
          <w:b/>
          <w:bCs/>
        </w:rPr>
      </w:pPr>
      <w:r w:rsidRPr="00A850C3">
        <w:rPr>
          <w:b/>
          <w:bCs/>
        </w:rPr>
        <w:t>The Ten Commandments: Worship the Right God in the Right W</w:t>
      </w:r>
      <w:r>
        <w:rPr>
          <w:b/>
          <w:bCs/>
        </w:rPr>
        <w:t>ay</w:t>
      </w:r>
    </w:p>
    <w:p w:rsidR="00C11EC2" w:rsidRPr="007A5F98" w:rsidRDefault="00C11EC2" w:rsidP="00C11EC2">
      <w:pPr>
        <w:jc w:val="center"/>
        <w:rPr>
          <w:i/>
          <w:iCs/>
        </w:rPr>
      </w:pPr>
      <w:r>
        <w:rPr>
          <w:i/>
          <w:iCs/>
        </w:rPr>
        <w:t>“</w:t>
      </w:r>
      <w:r w:rsidRPr="007A5F98">
        <w:rPr>
          <w:i/>
          <w:iCs/>
        </w:rPr>
        <w:t>You shall not make for yourself a carved image, or any likeness of anything that is in heaven above, or that is in the earth beneath, or that is in the water under the earth. 5 You shall not bow down to them or serve them, for I the LORD your God am a jealous God, visiting the iniquity of the fathers on the children to the third and the fourth generation of those who hate me, 6 but showing steadfast love to thousands of those who love me and keep my commandments.</w:t>
      </w:r>
      <w:r>
        <w:rPr>
          <w:i/>
          <w:iCs/>
        </w:rPr>
        <w:t xml:space="preserve">” </w:t>
      </w:r>
      <w:r w:rsidRPr="007A5F98">
        <w:t>Exodus 20:4-6</w:t>
      </w:r>
    </w:p>
    <w:p w:rsidR="00C11EC2" w:rsidRPr="00C92EAC" w:rsidRDefault="00C11EC2" w:rsidP="007A7978">
      <w:pPr>
        <w:rPr>
          <w:u w:val="single"/>
        </w:rPr>
      </w:pPr>
      <w:r>
        <w:rPr>
          <w:b/>
          <w:bCs/>
        </w:rPr>
        <w:t xml:space="preserve">Intro: </w:t>
      </w:r>
      <w:r w:rsidR="007A7978" w:rsidRPr="00C92EAC">
        <w:rPr>
          <w:u w:val="single"/>
        </w:rPr>
        <w:t>The Regulative Principle of Worship</w:t>
      </w:r>
    </w:p>
    <w:p w:rsidR="00C11EC2" w:rsidRDefault="00C11EC2" w:rsidP="007A7978">
      <w:pPr>
        <w:spacing w:line="480" w:lineRule="auto"/>
      </w:pPr>
      <w:r>
        <w:t>The value of our worship isn’t determined</w:t>
      </w:r>
      <w:r w:rsidR="007A7978">
        <w:t xml:space="preserve"> ______________________</w:t>
      </w:r>
      <w:r>
        <w:t xml:space="preserve">, or by its </w:t>
      </w:r>
      <w:r w:rsidR="007A7978">
        <w:t>___________________</w:t>
      </w:r>
      <w:r>
        <w:t xml:space="preserve">. The value of worship lies in its </w:t>
      </w:r>
      <w:r w:rsidR="007A7978">
        <w:t>___________________________________</w:t>
      </w:r>
      <w:r>
        <w:t xml:space="preserve">. </w:t>
      </w:r>
    </w:p>
    <w:p w:rsidR="00C11EC2" w:rsidRPr="007A7978" w:rsidRDefault="00C11EC2" w:rsidP="007A7978">
      <w:pPr>
        <w:numPr>
          <w:ilvl w:val="0"/>
          <w:numId w:val="1"/>
        </w:numPr>
        <w:spacing w:after="0" w:line="240" w:lineRule="auto"/>
        <w:ind w:left="540"/>
        <w:textAlignment w:val="center"/>
        <w:rPr>
          <w:rFonts w:ascii="Calibri" w:eastAsia="Times New Roman" w:hAnsi="Calibri" w:cs="Times New Roman"/>
          <w:b/>
          <w:bCs/>
          <w:color w:val="000000"/>
          <w:lang w:bidi="he-IL"/>
        </w:rPr>
      </w:pPr>
      <w:r w:rsidRPr="00A850C3">
        <w:rPr>
          <w:rFonts w:ascii="Calibri" w:eastAsia="Times New Roman" w:hAnsi="Calibri" w:cs="Times New Roman"/>
          <w:b/>
          <w:bCs/>
          <w:color w:val="000000"/>
          <w:lang w:bidi="he-IL"/>
        </w:rPr>
        <w:t xml:space="preserve">Jehu </w:t>
      </w:r>
      <w:r w:rsidR="007A7978" w:rsidRPr="007A7978">
        <w:rPr>
          <w:rFonts w:ascii="Calibri" w:eastAsia="Times New Roman" w:hAnsi="Calibri" w:cs="Times New Roman"/>
          <w:b/>
          <w:bCs/>
          <w:color w:val="000000"/>
          <w:lang w:bidi="he-IL"/>
        </w:rPr>
        <w:t>and 2 Kings 9-10</w:t>
      </w:r>
      <w:r w:rsidRPr="007A7978">
        <w:rPr>
          <w:rStyle w:val="FootnoteReference"/>
          <w:rFonts w:ascii="Calibri" w:eastAsia="Times New Roman" w:hAnsi="Calibri" w:cs="Times New Roman"/>
          <w:color w:val="000000"/>
          <w:lang w:bidi="he-IL"/>
        </w:rPr>
        <w:footnoteReference w:id="1"/>
      </w:r>
      <w:r w:rsidRPr="007A7978">
        <w:rPr>
          <w:rFonts w:ascii="Calibri" w:eastAsia="Times New Roman" w:hAnsi="Calibri" w:cs="Times New Roman"/>
          <w:b/>
          <w:bCs/>
          <w:color w:val="000000"/>
          <w:lang w:bidi="he-IL"/>
        </w:rPr>
        <w:t xml:space="preserve"> </w:t>
      </w:r>
    </w:p>
    <w:p w:rsidR="00C11EC2" w:rsidRPr="00730409" w:rsidRDefault="00C11EC2" w:rsidP="00C11EC2">
      <w:pPr>
        <w:spacing w:after="0" w:line="240" w:lineRule="auto"/>
        <w:ind w:left="180"/>
        <w:textAlignment w:val="center"/>
        <w:rPr>
          <w:rFonts w:ascii="Calibri" w:eastAsia="Times New Roman" w:hAnsi="Calibri" w:cs="Times New Roman"/>
          <w:color w:val="000000"/>
          <w:lang w:bidi="he-IL"/>
        </w:rPr>
      </w:pPr>
    </w:p>
    <w:p w:rsidR="00C11EC2" w:rsidRPr="007A5F98" w:rsidRDefault="007A7978" w:rsidP="00C11EC2">
      <w:pPr>
        <w:rPr>
          <w:b/>
          <w:bCs/>
        </w:rPr>
      </w:pPr>
      <w:r w:rsidRPr="007A7978">
        <w:rPr>
          <w:b/>
          <w:bCs/>
          <w:u w:val="single"/>
        </w:rPr>
        <w:t>The 2</w:t>
      </w:r>
      <w:r w:rsidRPr="007A7978">
        <w:rPr>
          <w:b/>
          <w:bCs/>
          <w:u w:val="single"/>
          <w:vertAlign w:val="superscript"/>
        </w:rPr>
        <w:t>nd</w:t>
      </w:r>
      <w:r w:rsidRPr="007A7978">
        <w:rPr>
          <w:b/>
          <w:bCs/>
          <w:u w:val="single"/>
        </w:rPr>
        <w:t xml:space="preserve"> Commandment in 4 Parts</w:t>
      </w:r>
      <w:r>
        <w:rPr>
          <w:b/>
          <w:bCs/>
        </w:rPr>
        <w:t>:</w:t>
      </w:r>
      <w:bookmarkStart w:id="0" w:name="_GoBack"/>
      <w:bookmarkEnd w:id="0"/>
    </w:p>
    <w:p w:rsidR="00C11EC2" w:rsidRDefault="00C11EC2" w:rsidP="007A7978">
      <w:pPr>
        <w:numPr>
          <w:ilvl w:val="0"/>
          <w:numId w:val="2"/>
        </w:numPr>
        <w:spacing w:after="0" w:line="276" w:lineRule="auto"/>
        <w:textAlignment w:val="center"/>
        <w:rPr>
          <w:rFonts w:ascii="Calibri" w:eastAsia="Times New Roman" w:hAnsi="Calibri" w:cs="Times New Roman"/>
          <w:color w:val="000000"/>
          <w:lang w:bidi="he-IL"/>
        </w:rPr>
      </w:pPr>
      <w:r w:rsidRPr="00730409">
        <w:rPr>
          <w:rFonts w:ascii="Calibri" w:eastAsia="Times New Roman" w:hAnsi="Calibri" w:cs="Times New Roman"/>
          <w:b/>
          <w:bCs/>
          <w:color w:val="000000"/>
          <w:lang w:bidi="he-IL"/>
        </w:rPr>
        <w:t>The rule: 20:4</w:t>
      </w:r>
      <w:r w:rsidR="007A7978">
        <w:rPr>
          <w:rFonts w:ascii="Calibri" w:eastAsia="Times New Roman" w:hAnsi="Calibri" w:cs="Times New Roman"/>
          <w:color w:val="000000"/>
          <w:lang w:bidi="he-IL"/>
        </w:rPr>
        <w:t xml:space="preserve"> </w:t>
      </w:r>
    </w:p>
    <w:p w:rsidR="007A7978" w:rsidRDefault="007A7978" w:rsidP="007A7978">
      <w:pPr>
        <w:spacing w:after="0" w:line="276" w:lineRule="auto"/>
        <w:ind w:left="900"/>
        <w:textAlignment w:val="center"/>
        <w:rPr>
          <w:rFonts w:ascii="Calibri" w:eastAsia="Times New Roman" w:hAnsi="Calibri" w:cs="Times New Roman"/>
          <w:color w:val="000000"/>
          <w:lang w:bidi="he-IL"/>
        </w:rPr>
      </w:pPr>
    </w:p>
    <w:p w:rsidR="007A7978" w:rsidRDefault="007A7978" w:rsidP="007A7978">
      <w:pPr>
        <w:spacing w:after="0" w:line="276" w:lineRule="auto"/>
        <w:ind w:left="900"/>
        <w:textAlignment w:val="center"/>
        <w:rPr>
          <w:rFonts w:ascii="Calibri" w:eastAsia="Times New Roman" w:hAnsi="Calibri" w:cs="Times New Roman"/>
          <w:color w:val="000000"/>
          <w:lang w:bidi="he-IL"/>
        </w:rPr>
      </w:pPr>
    </w:p>
    <w:p w:rsidR="007A7978" w:rsidRPr="007A7978" w:rsidRDefault="007A7978" w:rsidP="007A7978">
      <w:pPr>
        <w:spacing w:after="0" w:line="276" w:lineRule="auto"/>
        <w:ind w:left="900"/>
        <w:textAlignment w:val="center"/>
        <w:rPr>
          <w:rFonts w:ascii="Calibri" w:eastAsia="Times New Roman" w:hAnsi="Calibri" w:cs="Times New Roman"/>
          <w:color w:val="000000"/>
          <w:lang w:bidi="he-IL"/>
        </w:rPr>
      </w:pPr>
    </w:p>
    <w:p w:rsidR="00C11EC2" w:rsidRPr="00F9072B" w:rsidRDefault="00C11EC2" w:rsidP="00C11EC2">
      <w:pPr>
        <w:numPr>
          <w:ilvl w:val="1"/>
          <w:numId w:val="2"/>
        </w:numPr>
        <w:spacing w:after="0" w:line="276" w:lineRule="auto"/>
        <w:textAlignment w:val="center"/>
        <w:rPr>
          <w:rFonts w:ascii="Calibri" w:eastAsia="Times New Roman" w:hAnsi="Calibri" w:cs="Times New Roman"/>
          <w:color w:val="000000"/>
          <w:lang w:bidi="he-IL"/>
        </w:rPr>
      </w:pPr>
      <w:r w:rsidRPr="00F9072B">
        <w:rPr>
          <w:rFonts w:ascii="Calibri" w:eastAsia="Times New Roman" w:hAnsi="Calibri" w:cs="Times New Roman"/>
          <w:color w:val="000000"/>
          <w:lang w:bidi="he-IL"/>
        </w:rPr>
        <w:t>"How should we form thoughts of God? Not only can we not imagine him adequately, since he is at every point greater than we can grasp - we dare not trust anything our imagination says about him, for the built in habit of fallen minds is to scale God down."</w:t>
      </w:r>
      <w:r>
        <w:rPr>
          <w:rStyle w:val="FootnoteReference"/>
          <w:rFonts w:ascii="Calibri" w:eastAsia="Times New Roman" w:hAnsi="Calibri" w:cs="Times New Roman"/>
          <w:color w:val="000000"/>
          <w:lang w:bidi="he-IL"/>
        </w:rPr>
        <w:footnoteReference w:id="2"/>
      </w:r>
    </w:p>
    <w:p w:rsidR="007A7978" w:rsidRDefault="007A7978" w:rsidP="007A7978">
      <w:pPr>
        <w:spacing w:after="0" w:line="276" w:lineRule="auto"/>
        <w:ind w:left="360"/>
        <w:textAlignment w:val="center"/>
        <w:rPr>
          <w:rFonts w:ascii="Calibri" w:eastAsia="Times New Roman" w:hAnsi="Calibri" w:cs="Times New Roman"/>
          <w:color w:val="000000"/>
          <w:lang w:bidi="he-IL"/>
        </w:rPr>
      </w:pPr>
    </w:p>
    <w:p w:rsidR="007A7978" w:rsidRDefault="007A7978" w:rsidP="007A7978">
      <w:pPr>
        <w:spacing w:after="0" w:line="276" w:lineRule="auto"/>
        <w:ind w:left="360"/>
        <w:textAlignment w:val="center"/>
        <w:rPr>
          <w:rFonts w:ascii="Calibri" w:eastAsia="Times New Roman" w:hAnsi="Calibri" w:cs="Times New Roman"/>
          <w:color w:val="000000"/>
          <w:lang w:bidi="he-IL"/>
        </w:rPr>
      </w:pPr>
    </w:p>
    <w:p w:rsidR="007A7978" w:rsidRDefault="007A7978" w:rsidP="007A7978">
      <w:pPr>
        <w:spacing w:after="0" w:line="276" w:lineRule="auto"/>
        <w:ind w:left="360"/>
        <w:textAlignment w:val="center"/>
        <w:rPr>
          <w:rFonts w:ascii="Calibri" w:eastAsia="Times New Roman" w:hAnsi="Calibri" w:cs="Times New Roman"/>
          <w:color w:val="000000"/>
          <w:lang w:bidi="he-IL"/>
        </w:rPr>
      </w:pPr>
    </w:p>
    <w:p w:rsidR="007A7978" w:rsidRDefault="007A7978" w:rsidP="007A7978">
      <w:pPr>
        <w:spacing w:after="0" w:line="276" w:lineRule="auto"/>
        <w:ind w:left="360"/>
        <w:textAlignment w:val="center"/>
        <w:rPr>
          <w:rFonts w:ascii="Calibri" w:eastAsia="Times New Roman" w:hAnsi="Calibri" w:cs="Times New Roman"/>
          <w:color w:val="000000"/>
          <w:lang w:bidi="he-IL"/>
        </w:rPr>
      </w:pPr>
    </w:p>
    <w:p w:rsidR="007A7978" w:rsidRDefault="007A7978" w:rsidP="007A7978">
      <w:pPr>
        <w:spacing w:after="0" w:line="276" w:lineRule="auto"/>
        <w:ind w:left="360"/>
        <w:textAlignment w:val="center"/>
        <w:rPr>
          <w:rFonts w:ascii="Calibri" w:eastAsia="Times New Roman" w:hAnsi="Calibri" w:cs="Times New Roman"/>
          <w:color w:val="000000"/>
          <w:lang w:bidi="he-IL"/>
        </w:rPr>
      </w:pPr>
    </w:p>
    <w:p w:rsidR="007A7978" w:rsidRDefault="007A7978" w:rsidP="007A7978">
      <w:pPr>
        <w:spacing w:after="0" w:line="276" w:lineRule="auto"/>
        <w:ind w:left="360"/>
        <w:textAlignment w:val="center"/>
        <w:rPr>
          <w:rFonts w:ascii="Calibri" w:eastAsia="Times New Roman" w:hAnsi="Calibri" w:cs="Times New Roman"/>
          <w:color w:val="000000"/>
          <w:lang w:bidi="he-IL"/>
        </w:rPr>
      </w:pPr>
    </w:p>
    <w:p w:rsidR="00C11EC2" w:rsidRPr="007A7978" w:rsidRDefault="00C11EC2" w:rsidP="007A7978">
      <w:pPr>
        <w:numPr>
          <w:ilvl w:val="0"/>
          <w:numId w:val="2"/>
        </w:numPr>
        <w:spacing w:after="0" w:line="276" w:lineRule="auto"/>
        <w:textAlignment w:val="center"/>
        <w:rPr>
          <w:rFonts w:ascii="Calibri" w:eastAsia="Times New Roman" w:hAnsi="Calibri" w:cs="Times New Roman"/>
          <w:color w:val="000000"/>
          <w:lang w:bidi="he-IL"/>
        </w:rPr>
      </w:pPr>
      <w:r w:rsidRPr="00F624A4">
        <w:rPr>
          <w:b/>
          <w:bCs/>
        </w:rPr>
        <w:t>The reason: 20:5</w:t>
      </w:r>
      <w:r>
        <w:rPr>
          <w:b/>
          <w:bCs/>
        </w:rPr>
        <w:t>a</w:t>
      </w:r>
      <w:r>
        <w:t xml:space="preserve"> </w:t>
      </w:r>
    </w:p>
    <w:p w:rsidR="007A7978" w:rsidRDefault="007A7978" w:rsidP="007A7978">
      <w:pPr>
        <w:spacing w:after="0" w:line="276" w:lineRule="auto"/>
        <w:ind w:left="360"/>
        <w:textAlignment w:val="center"/>
      </w:pPr>
    </w:p>
    <w:p w:rsidR="007A7978" w:rsidRDefault="007A7978" w:rsidP="007A7978">
      <w:pPr>
        <w:spacing w:after="0" w:line="276" w:lineRule="auto"/>
        <w:ind w:left="360"/>
        <w:textAlignment w:val="center"/>
      </w:pPr>
    </w:p>
    <w:p w:rsidR="007A7978" w:rsidRDefault="007A7978" w:rsidP="007A7978">
      <w:pPr>
        <w:spacing w:after="0" w:line="276" w:lineRule="auto"/>
        <w:ind w:left="360"/>
        <w:textAlignment w:val="center"/>
      </w:pPr>
    </w:p>
    <w:p w:rsidR="007A7978" w:rsidRDefault="007A7978" w:rsidP="007A7978">
      <w:pPr>
        <w:spacing w:after="0" w:line="276" w:lineRule="auto"/>
        <w:ind w:left="360"/>
        <w:textAlignment w:val="center"/>
      </w:pPr>
    </w:p>
    <w:p w:rsidR="007A7978" w:rsidRDefault="007A7978" w:rsidP="007A7978">
      <w:pPr>
        <w:spacing w:after="0" w:line="276" w:lineRule="auto"/>
        <w:ind w:left="360"/>
        <w:textAlignment w:val="center"/>
      </w:pPr>
    </w:p>
    <w:p w:rsidR="007A7978" w:rsidRDefault="007A7978" w:rsidP="007A7978">
      <w:pPr>
        <w:spacing w:after="0" w:line="276" w:lineRule="auto"/>
        <w:ind w:left="360"/>
        <w:textAlignment w:val="center"/>
      </w:pPr>
    </w:p>
    <w:p w:rsidR="007A7978" w:rsidRDefault="007A7978" w:rsidP="007A7978">
      <w:pPr>
        <w:spacing w:after="0" w:line="276" w:lineRule="auto"/>
        <w:ind w:left="360"/>
        <w:textAlignment w:val="center"/>
        <w:rPr>
          <w:rFonts w:ascii="Calibri" w:eastAsia="Times New Roman" w:hAnsi="Calibri" w:cs="Times New Roman"/>
          <w:color w:val="000000"/>
          <w:lang w:bidi="he-IL"/>
        </w:rPr>
      </w:pPr>
    </w:p>
    <w:p w:rsidR="007A7978" w:rsidRDefault="007A7978" w:rsidP="007A7978">
      <w:pPr>
        <w:spacing w:after="0" w:line="276" w:lineRule="auto"/>
        <w:ind w:left="360"/>
        <w:textAlignment w:val="center"/>
        <w:rPr>
          <w:rFonts w:ascii="Calibri" w:eastAsia="Times New Roman" w:hAnsi="Calibri" w:cs="Times New Roman"/>
          <w:color w:val="000000"/>
          <w:lang w:bidi="he-IL"/>
        </w:rPr>
      </w:pPr>
    </w:p>
    <w:p w:rsidR="007A7978" w:rsidRDefault="007A7978" w:rsidP="007A7978">
      <w:pPr>
        <w:spacing w:after="0" w:line="276" w:lineRule="auto"/>
        <w:ind w:left="360"/>
        <w:textAlignment w:val="center"/>
        <w:rPr>
          <w:rFonts w:ascii="Calibri" w:eastAsia="Times New Roman" w:hAnsi="Calibri" w:cs="Times New Roman"/>
          <w:color w:val="000000"/>
          <w:lang w:bidi="he-IL"/>
        </w:rPr>
      </w:pPr>
    </w:p>
    <w:p w:rsidR="007A7978" w:rsidRPr="00F624A4" w:rsidRDefault="007A7978" w:rsidP="007A7978">
      <w:pPr>
        <w:spacing w:after="0" w:line="276" w:lineRule="auto"/>
        <w:ind w:left="360"/>
        <w:textAlignment w:val="center"/>
        <w:rPr>
          <w:rFonts w:ascii="Calibri" w:eastAsia="Times New Roman" w:hAnsi="Calibri" w:cs="Times New Roman"/>
          <w:color w:val="000000"/>
          <w:lang w:bidi="he-IL"/>
        </w:rPr>
      </w:pPr>
    </w:p>
    <w:p w:rsidR="00C11EC2" w:rsidRPr="007A7978" w:rsidRDefault="00C11EC2" w:rsidP="007A7978">
      <w:pPr>
        <w:pStyle w:val="ListParagraph"/>
        <w:numPr>
          <w:ilvl w:val="0"/>
          <w:numId w:val="2"/>
        </w:numPr>
        <w:spacing w:line="276" w:lineRule="auto"/>
        <w:rPr>
          <w:rFonts w:ascii="Calibri" w:eastAsia="Times New Roman" w:hAnsi="Calibri" w:cs="Times New Roman"/>
          <w:color w:val="000000"/>
          <w:lang w:bidi="he-IL"/>
        </w:rPr>
      </w:pPr>
      <w:r w:rsidRPr="00F624A4">
        <w:rPr>
          <w:b/>
          <w:bCs/>
        </w:rPr>
        <w:lastRenderedPageBreak/>
        <w:t>The warning 20:5b</w:t>
      </w:r>
      <w:r>
        <w:t xml:space="preserve"> </w:t>
      </w:r>
    </w:p>
    <w:p w:rsidR="007A7978" w:rsidRDefault="007A7978" w:rsidP="007A7978">
      <w:pPr>
        <w:pStyle w:val="ListParagraph"/>
        <w:spacing w:line="276" w:lineRule="auto"/>
        <w:ind w:left="360"/>
      </w:pPr>
    </w:p>
    <w:p w:rsidR="007A7978" w:rsidRDefault="007A7978" w:rsidP="007A7978">
      <w:pPr>
        <w:pStyle w:val="ListParagraph"/>
        <w:spacing w:line="276" w:lineRule="auto"/>
        <w:ind w:left="360"/>
        <w:rPr>
          <w:rFonts w:ascii="Calibri" w:eastAsia="Times New Roman" w:hAnsi="Calibri" w:cs="Times New Roman"/>
          <w:color w:val="000000"/>
          <w:lang w:bidi="he-IL"/>
        </w:rPr>
      </w:pPr>
    </w:p>
    <w:p w:rsidR="007A7978" w:rsidRDefault="007A7978" w:rsidP="007A7978">
      <w:pPr>
        <w:pStyle w:val="ListParagraph"/>
        <w:spacing w:line="276" w:lineRule="auto"/>
        <w:ind w:left="360"/>
        <w:rPr>
          <w:rFonts w:ascii="Calibri" w:eastAsia="Times New Roman" w:hAnsi="Calibri" w:cs="Times New Roman"/>
          <w:color w:val="000000"/>
          <w:lang w:bidi="he-IL"/>
        </w:rPr>
      </w:pPr>
    </w:p>
    <w:p w:rsidR="00C11EC2" w:rsidRPr="00B97A1A" w:rsidRDefault="00C11EC2" w:rsidP="007A7978">
      <w:pPr>
        <w:numPr>
          <w:ilvl w:val="0"/>
          <w:numId w:val="2"/>
        </w:numPr>
        <w:spacing w:after="0" w:line="276" w:lineRule="auto"/>
        <w:textAlignment w:val="center"/>
        <w:rPr>
          <w:rFonts w:ascii="Calibri" w:eastAsia="Times New Roman" w:hAnsi="Calibri" w:cs="Times New Roman"/>
          <w:color w:val="000000"/>
          <w:lang w:bidi="he-IL"/>
        </w:rPr>
      </w:pPr>
      <w:r w:rsidRPr="00F624A4">
        <w:rPr>
          <w:rFonts w:ascii="Calibri" w:eastAsia="Times New Roman" w:hAnsi="Calibri" w:cs="Times New Roman"/>
          <w:b/>
          <w:bCs/>
          <w:color w:val="000000"/>
          <w:lang w:bidi="he-IL"/>
        </w:rPr>
        <w:t>The promise: 20:6</w:t>
      </w:r>
      <w:r w:rsidRPr="00F624A4">
        <w:rPr>
          <w:rFonts w:ascii="Calibri" w:eastAsia="Times New Roman" w:hAnsi="Calibri" w:cs="Times New Roman"/>
          <w:color w:val="000000"/>
          <w:lang w:bidi="he-IL"/>
        </w:rPr>
        <w:t xml:space="preserve"> </w:t>
      </w:r>
    </w:p>
    <w:p w:rsidR="007A7978" w:rsidRDefault="007A7978" w:rsidP="00C11EC2">
      <w:pPr>
        <w:rPr>
          <w:b/>
          <w:bCs/>
        </w:rPr>
      </w:pPr>
    </w:p>
    <w:p w:rsidR="007A7978" w:rsidRDefault="007A7978" w:rsidP="00C11EC2">
      <w:pPr>
        <w:rPr>
          <w:b/>
          <w:bCs/>
        </w:rPr>
      </w:pPr>
    </w:p>
    <w:p w:rsidR="007A7978" w:rsidRDefault="007A7978" w:rsidP="00C11EC2">
      <w:pPr>
        <w:rPr>
          <w:b/>
          <w:bCs/>
        </w:rPr>
      </w:pPr>
    </w:p>
    <w:p w:rsidR="007A7978" w:rsidRDefault="007A7978" w:rsidP="00C11EC2">
      <w:pPr>
        <w:rPr>
          <w:b/>
          <w:bCs/>
        </w:rPr>
      </w:pPr>
    </w:p>
    <w:p w:rsidR="00C11EC2" w:rsidRPr="00B97A1A" w:rsidRDefault="00C11EC2" w:rsidP="00C11EC2">
      <w:pPr>
        <w:rPr>
          <w:b/>
          <w:bCs/>
        </w:rPr>
      </w:pPr>
      <w:r w:rsidRPr="00B97A1A">
        <w:rPr>
          <w:b/>
          <w:bCs/>
        </w:rPr>
        <w:t>How does the second commandment lead us to Christ? What does union with Christ mean for how we reflect on the 2</w:t>
      </w:r>
      <w:r w:rsidRPr="00B97A1A">
        <w:rPr>
          <w:b/>
          <w:bCs/>
          <w:vertAlign w:val="superscript"/>
        </w:rPr>
        <w:t>nd</w:t>
      </w:r>
      <w:r w:rsidRPr="00B97A1A">
        <w:rPr>
          <w:b/>
          <w:bCs/>
        </w:rPr>
        <w:t xml:space="preserve"> commandment?</w:t>
      </w:r>
    </w:p>
    <w:p w:rsidR="00C11EC2" w:rsidRPr="00B97A1A" w:rsidRDefault="00C11EC2" w:rsidP="00C11EC2">
      <w:pPr>
        <w:rPr>
          <w:rFonts w:eastAsia="Times New Roman"/>
        </w:rPr>
      </w:pPr>
      <w:r w:rsidRPr="00B97A1A">
        <w:rPr>
          <w:b/>
          <w:bCs/>
        </w:rPr>
        <w:t>Calvin:</w:t>
      </w:r>
      <w:r>
        <w:t xml:space="preserve"> </w:t>
      </w:r>
      <w:r>
        <w:rPr>
          <w:rFonts w:eastAsia="Times New Roman"/>
        </w:rPr>
        <w:t>"God’s law is thus a dead letter which kills those who follow it when it is separated from the grace of Christ, and when it merely sounds in the ears without touching our hearts. If, however, by God's spirit it is vividly impressed on the will, and if it conveys Jesus Christ to us, it is the word of life, converting souls and giving wisdom to the humble."</w:t>
      </w:r>
      <w:r>
        <w:rPr>
          <w:rStyle w:val="FootnoteReference"/>
          <w:rFonts w:eastAsia="Times New Roman"/>
        </w:rPr>
        <w:footnoteReference w:id="3"/>
      </w:r>
    </w:p>
    <w:p w:rsidR="00E924C0" w:rsidRDefault="00E924C0"/>
    <w:sectPr w:rsidR="00E92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815" w:rsidRDefault="00A24815" w:rsidP="00C11EC2">
      <w:pPr>
        <w:spacing w:after="0" w:line="240" w:lineRule="auto"/>
      </w:pPr>
      <w:r>
        <w:separator/>
      </w:r>
    </w:p>
  </w:endnote>
  <w:endnote w:type="continuationSeparator" w:id="0">
    <w:p w:rsidR="00A24815" w:rsidRDefault="00A24815" w:rsidP="00C1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815" w:rsidRDefault="00A24815" w:rsidP="00C11EC2">
      <w:pPr>
        <w:spacing w:after="0" w:line="240" w:lineRule="auto"/>
      </w:pPr>
      <w:r>
        <w:separator/>
      </w:r>
    </w:p>
  </w:footnote>
  <w:footnote w:type="continuationSeparator" w:id="0">
    <w:p w:rsidR="00A24815" w:rsidRDefault="00A24815" w:rsidP="00C11EC2">
      <w:pPr>
        <w:spacing w:after="0" w:line="240" w:lineRule="auto"/>
      </w:pPr>
      <w:r>
        <w:continuationSeparator/>
      </w:r>
    </w:p>
  </w:footnote>
  <w:footnote w:id="1">
    <w:p w:rsidR="00C11EC2" w:rsidRDefault="00C11EC2" w:rsidP="00C11EC2">
      <w:pPr>
        <w:pStyle w:val="FootnoteText"/>
      </w:pPr>
      <w:r>
        <w:rPr>
          <w:rStyle w:val="FootnoteReference"/>
        </w:rPr>
        <w:footnoteRef/>
      </w:r>
      <w:r>
        <w:t xml:space="preserve"> </w:t>
      </w:r>
      <w:r>
        <w:fldChar w:fldCharType="begin"/>
      </w:r>
      <w:r>
        <w:instrText xml:space="preserve"> ADDIN ZOTERO_ITEM CSL_CITATION {"citationID":"opXF6ubp","properties":{"formattedCitation":"{\\rtf Ryken, \\i Written in Stone\\i0{}, 72\\uc0\\u8211{}73.}","plainCitation":"Ryken, Written in Stone, 72–73."},"citationItems":[{"id":22,"uris":["http://zotero.org/users/805908/items/FVBAABCF"],"uri":["http://zotero.org/users/805908/items/FVBAABCF"],"itemData":{"id":22,"type":"book","title":"Written in Stone: The Ten Commandments and Today's Moral Crisis","publisher":"P &amp; R Publishing","publisher-place":"Phillipsburg, NJ","number-of-pages":"240","source":"Amazon","event-place":"Phillipsburg, NJ","abstract":"The Ten Commandments are an expression of God's eternal character and have binding force today. Here Philip Ryken offers basic principles for interpreting and applying them -- explaining them one by one, illustrating each with a biblical account, and relating each to the person and redemptive work of Jesus Christ.This is a book to be read and savored. Readers will find themselves examining their own lives, changing their ways, and delighting in newfound grace.","ISBN":"9781596382060","shortTitle":"Written in Stone","language":"English","author":[{"family":"Ryken","given":"Philip Graham"}],"issued":{"date-parts":[["2010",6,1]]}},"locator":"72-73"}],"schema":"https://github.com/citation-style-language/schema/raw/master/csl-citation.json"} </w:instrText>
      </w:r>
      <w:r>
        <w:fldChar w:fldCharType="separate"/>
      </w:r>
      <w:r w:rsidRPr="007A5F98">
        <w:rPr>
          <w:rFonts w:ascii="Calibri" w:hAnsi="Calibri" w:cs="Times New Roman"/>
          <w:szCs w:val="24"/>
        </w:rPr>
        <w:t xml:space="preserve">Ryken, </w:t>
      </w:r>
      <w:r w:rsidRPr="007A5F98">
        <w:rPr>
          <w:rFonts w:ascii="Calibri" w:hAnsi="Calibri" w:cs="Times New Roman"/>
          <w:i/>
          <w:iCs/>
          <w:szCs w:val="24"/>
        </w:rPr>
        <w:t>Written in Stone</w:t>
      </w:r>
      <w:r w:rsidRPr="007A5F98">
        <w:rPr>
          <w:rFonts w:ascii="Calibri" w:hAnsi="Calibri" w:cs="Times New Roman"/>
          <w:szCs w:val="24"/>
        </w:rPr>
        <w:t>, 72–73.</w:t>
      </w:r>
      <w:r>
        <w:fldChar w:fldCharType="end"/>
      </w:r>
      <w:r>
        <w:t xml:space="preserve"> I am indebted to </w:t>
      </w:r>
      <w:proofErr w:type="spellStart"/>
      <w:r>
        <w:t>Ryken</w:t>
      </w:r>
      <w:proofErr w:type="spellEnd"/>
      <w:r>
        <w:t xml:space="preserve"> for much of what follows.</w:t>
      </w:r>
    </w:p>
  </w:footnote>
  <w:footnote w:id="2">
    <w:p w:rsidR="00C11EC2" w:rsidRDefault="00C11EC2" w:rsidP="00C11EC2">
      <w:pPr>
        <w:pStyle w:val="FootnoteText"/>
      </w:pPr>
      <w:r>
        <w:rPr>
          <w:rStyle w:val="FootnoteReference"/>
        </w:rPr>
        <w:footnoteRef/>
      </w:r>
      <w:r>
        <w:t xml:space="preserve"> </w:t>
      </w:r>
      <w:r>
        <w:fldChar w:fldCharType="begin"/>
      </w:r>
      <w:r>
        <w:instrText xml:space="preserve"> ADDIN ZOTERO_ITEM CSL_CITATION {"citationID":"9bBNiYxR","properties":{"formattedCitation":"{\\rtf Packer, \\i Keeping the Ten Commandments\\i0{}, 53.}","plainCitation":"Packer, Keeping the Ten Commandments, 53."},"citationItems":[{"id":28,"uris":["http://zotero.org/users/805908/items/X8G9JAFM"],"uri":["http://zotero.org/users/805908/items/X8G9JAFM"],"itemData":{"id":28,"type":"book","title":"Keeping the Ten Commandments","publisher":"Crossway","publisher-place":"Wheaton, Ill","number-of-pages":"128","source":"Amazon","event-place":"Wheaton, Ill","abstract":"They're often mistakenly considered God's \"rules\"-his outdated list of do's and don'ts that add up to a guilt-ridden, legalistic way of life. But as beloved author and Bible scholar J. I. Packer probes the purpose and true meaning of the Ten Commandments, you'll discover that these precepts can aptly be called God's blueprint for the best life possible. They contain the wisdom and priorities everyone needs for relational, spiritual, and societal blessing-and it's all coming from a loving heavenly Father who wants the best for his children. Not only does Packer deliver these truths in brief, readable segments, but he includes discussion questions and ideas for further study at the end of each chapter. This book will challenge you to view the commandments with new eyes and help you to understand-perhaps for the first time-the health, hope, and heritage you're offered there.","ISBN":"9781581349832","language":"English","author":[{"family":"Packer","given":"J. I."}],"issued":{"date-parts":[["2008",1,7]]}},"locator":"53"}],"schema":"https://github.com/citation-style-language/schema/raw/master/csl-citation.json"} </w:instrText>
      </w:r>
      <w:r>
        <w:fldChar w:fldCharType="separate"/>
      </w:r>
      <w:r w:rsidRPr="00B97A1A">
        <w:rPr>
          <w:rFonts w:ascii="Calibri" w:hAnsi="Calibri" w:cs="Times New Roman"/>
          <w:szCs w:val="24"/>
        </w:rPr>
        <w:t xml:space="preserve">Packer, </w:t>
      </w:r>
      <w:r w:rsidRPr="00B97A1A">
        <w:rPr>
          <w:rFonts w:ascii="Calibri" w:hAnsi="Calibri" w:cs="Times New Roman"/>
          <w:i/>
          <w:iCs/>
          <w:szCs w:val="24"/>
        </w:rPr>
        <w:t>Keeping the Ten Commandments</w:t>
      </w:r>
      <w:r w:rsidRPr="00B97A1A">
        <w:rPr>
          <w:rFonts w:ascii="Calibri" w:hAnsi="Calibri" w:cs="Times New Roman"/>
          <w:szCs w:val="24"/>
        </w:rPr>
        <w:t>, 53.</w:t>
      </w:r>
      <w:r>
        <w:fldChar w:fldCharType="end"/>
      </w:r>
      <w:r>
        <w:t xml:space="preserve"> Much of the section on imagination is owed to Packer. </w:t>
      </w:r>
    </w:p>
  </w:footnote>
  <w:footnote w:id="3">
    <w:p w:rsidR="00C11EC2" w:rsidRDefault="00C11EC2" w:rsidP="00C11EC2">
      <w:pPr>
        <w:pStyle w:val="FootnoteText"/>
      </w:pPr>
      <w:r>
        <w:rPr>
          <w:rStyle w:val="FootnoteReference"/>
        </w:rPr>
        <w:footnoteRef/>
      </w:r>
      <w:r>
        <w:t xml:space="preserve"> </w:t>
      </w:r>
      <w:r>
        <w:fldChar w:fldCharType="begin"/>
      </w:r>
      <w:r>
        <w:instrText xml:space="preserve"> ADDIN ZOTERO_ITEM CSL_CITATION {"citationID":"RSp4R8TL","properties":{"formattedCitation":"{\\rtf Calvin, \\i The Institutes of the Christian Religion\\i0{}, 25.}","plainCitation":"Calvin, The Institutes of the Christian Religion, 25."},"citationItems":[{"id":382,"uris":["http://zotero.org/users/805908/items/PHNE3MKT"],"uri":["http://zotero.org/users/805908/items/PHNE3MKT"],"itemData":{"id":382,"type":"book","title":"The Institutes of the Christian Religion","publisher":"Banner of Truth","number-of-pages":"920","edition":"1541 edition","source":"Amazon","abstract":"(Calvin's Own 'Essentials' Edition)Translated by Robert White The Institutes of the Christian Religion is Calvin's single most important work. Yet, as many who have purchased an English translation of the final Latin edition of 1559 know only too well, the sheer size of the work and the proliferation of technical details and polemical themes do not make for easy reading. It has left many wishing for an edition that avoided such things but yet kept intact the very heart and soul of Calvin's teaching.Such an edition is now available, and it is not the work of an editor or an abridger, but of Calvin himself. The present translation is newly made from the French of 1541. It has been designed and annotated with the needs of a wide readership in mind.","ISBN":"9781848714632","language":"English","author":[{"family":"Calvin","given":"John"}],"editor":[{"family":"White","given":"Robert"}],"issued":{"date-parts":[["2014",9,18]]}},"locator":"25"}],"schema":"https://github.com/citation-style-language/schema/raw/master/csl-citation.json"} </w:instrText>
      </w:r>
      <w:r>
        <w:fldChar w:fldCharType="separate"/>
      </w:r>
      <w:r w:rsidRPr="00B97A1A">
        <w:rPr>
          <w:rFonts w:ascii="Calibri" w:hAnsi="Calibri" w:cs="Times New Roman"/>
          <w:szCs w:val="24"/>
        </w:rPr>
        <w:t xml:space="preserve">Calvin, </w:t>
      </w:r>
      <w:r w:rsidRPr="00B97A1A">
        <w:rPr>
          <w:rFonts w:ascii="Calibri" w:hAnsi="Calibri" w:cs="Times New Roman"/>
          <w:i/>
          <w:iCs/>
          <w:szCs w:val="24"/>
        </w:rPr>
        <w:t>The Institutes of the Christian Religion</w:t>
      </w:r>
      <w:r w:rsidRPr="00B97A1A">
        <w:rPr>
          <w:rFonts w:ascii="Calibri" w:hAnsi="Calibri" w:cs="Times New Roman"/>
          <w:szCs w:val="24"/>
        </w:rPr>
        <w:t>, 25.</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31D1"/>
    <w:multiLevelType w:val="hybridMultilevel"/>
    <w:tmpl w:val="BAD898CE"/>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4D44B0"/>
    <w:multiLevelType w:val="hybridMultilevel"/>
    <w:tmpl w:val="AA12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894A82"/>
    <w:multiLevelType w:val="multilevel"/>
    <w:tmpl w:val="37B2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C2"/>
    <w:rsid w:val="000E2013"/>
    <w:rsid w:val="00452AFB"/>
    <w:rsid w:val="007A7978"/>
    <w:rsid w:val="00A24815"/>
    <w:rsid w:val="00C11EC2"/>
    <w:rsid w:val="00C92EAC"/>
    <w:rsid w:val="00E924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D0E52-BC8A-406B-AF5A-A01C74B0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C2"/>
    <w:pPr>
      <w:ind w:left="720"/>
      <w:contextualSpacing/>
    </w:pPr>
  </w:style>
  <w:style w:type="paragraph" w:styleId="FootnoteText">
    <w:name w:val="footnote text"/>
    <w:basedOn w:val="Normal"/>
    <w:link w:val="FootnoteTextChar"/>
    <w:uiPriority w:val="99"/>
    <w:semiHidden/>
    <w:unhideWhenUsed/>
    <w:rsid w:val="00C11E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EC2"/>
    <w:rPr>
      <w:sz w:val="20"/>
      <w:szCs w:val="20"/>
    </w:rPr>
  </w:style>
  <w:style w:type="character" w:styleId="FootnoteReference">
    <w:name w:val="footnote reference"/>
    <w:basedOn w:val="DefaultParagraphFont"/>
    <w:uiPriority w:val="99"/>
    <w:semiHidden/>
    <w:unhideWhenUsed/>
    <w:rsid w:val="00C11EC2"/>
    <w:rPr>
      <w:vertAlign w:val="superscript"/>
    </w:rPr>
  </w:style>
  <w:style w:type="paragraph" w:styleId="BalloonText">
    <w:name w:val="Balloon Text"/>
    <w:basedOn w:val="Normal"/>
    <w:link w:val="BalloonTextChar"/>
    <w:uiPriority w:val="99"/>
    <w:semiHidden/>
    <w:unhideWhenUsed/>
    <w:rsid w:val="00C92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2015-04-26T13:05:00Z</cp:lastPrinted>
  <dcterms:created xsi:type="dcterms:W3CDTF">2015-04-24T16:18:00Z</dcterms:created>
  <dcterms:modified xsi:type="dcterms:W3CDTF">2015-04-26T16:55:00Z</dcterms:modified>
</cp:coreProperties>
</file>